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0F606" w14:textId="77777777" w:rsidR="006E53F6" w:rsidRPr="00A70749" w:rsidRDefault="007A35A7" w:rsidP="003A1C70">
      <w:pPr>
        <w:spacing w:after="240" w:line="300" w:lineRule="auto"/>
        <w:contextualSpacing/>
        <w:rPr>
          <w:rFonts w:ascii="Calibri" w:hAnsi="Calibri" w:cs="Calibri"/>
          <w:bCs/>
          <w:sz w:val="22"/>
          <w:szCs w:val="22"/>
          <w:lang w:eastAsia="pl-PL"/>
        </w:rPr>
      </w:pPr>
      <w:r w:rsidRPr="00A70749">
        <w:rPr>
          <w:rFonts w:ascii="Calibri" w:hAnsi="Calibri" w:cs="Calibri"/>
          <w:bCs/>
          <w:sz w:val="22"/>
          <w:szCs w:val="22"/>
        </w:rPr>
        <w:t>Załącznik nr 20</w:t>
      </w:r>
    </w:p>
    <w:p w14:paraId="580B0DAF" w14:textId="77777777" w:rsidR="006E53F6" w:rsidRPr="00A841BB" w:rsidRDefault="006E53F6" w:rsidP="009675C5">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74D6DA2B" w14:textId="61C7BAF1" w:rsidR="00E40D0C" w:rsidRPr="00A841BB" w:rsidRDefault="00E40D0C" w:rsidP="005E7D8C">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841BB">
        <w:rPr>
          <w:rFonts w:ascii="Calibri" w:hAnsi="Calibri" w:cs="Calibri"/>
          <w:sz w:val="22"/>
          <w:szCs w:val="22"/>
          <w:lang w:val="pl-PL"/>
        </w:rPr>
        <w:t xml:space="preserve">Informacje o </w:t>
      </w:r>
      <w:r w:rsidR="003D32C5">
        <w:rPr>
          <w:rFonts w:ascii="Calibri" w:hAnsi="Calibri" w:cs="Calibri"/>
          <w:sz w:val="22"/>
          <w:szCs w:val="22"/>
          <w:lang w:val="pl-PL"/>
        </w:rPr>
        <w:t>Urzę</w:t>
      </w:r>
      <w:r>
        <w:rPr>
          <w:rFonts w:ascii="Calibri" w:hAnsi="Calibri" w:cs="Calibri"/>
          <w:sz w:val="22"/>
          <w:szCs w:val="22"/>
          <w:lang w:val="pl-PL"/>
        </w:rPr>
        <w:t>d</w:t>
      </w:r>
      <w:r w:rsidR="003D32C5">
        <w:rPr>
          <w:rFonts w:ascii="Calibri" w:hAnsi="Calibri" w:cs="Calibri"/>
          <w:sz w:val="22"/>
          <w:szCs w:val="22"/>
          <w:lang w:val="pl-PL"/>
        </w:rPr>
        <w:t>zie</w:t>
      </w:r>
      <w:r>
        <w:rPr>
          <w:rFonts w:ascii="Calibri" w:hAnsi="Calibri" w:cs="Calibri"/>
          <w:sz w:val="22"/>
          <w:szCs w:val="22"/>
          <w:lang w:val="pl-PL"/>
        </w:rPr>
        <w:t xml:space="preserve"> Dzielnicy Rembertów m.st. Warszawy</w:t>
      </w:r>
      <w:r w:rsidRPr="00A841BB">
        <w:rPr>
          <w:rFonts w:ascii="Calibri" w:hAnsi="Calibri" w:cs="Calibri"/>
          <w:sz w:val="22"/>
          <w:szCs w:val="22"/>
          <w:lang w:val="pl-PL"/>
        </w:rPr>
        <w:t xml:space="preserve"> </w:t>
      </w:r>
    </w:p>
    <w:p w14:paraId="717CA578" w14:textId="77777777" w:rsidR="00E40D0C" w:rsidRPr="00462F47" w:rsidRDefault="00E40D0C" w:rsidP="005E7D8C">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Pr>
          <w:rFonts w:ascii="Calibri" w:hAnsi="Calibri" w:cs="Calibri"/>
          <w:color w:val="auto"/>
          <w:sz w:val="22"/>
          <w:szCs w:val="22"/>
          <w:lang w:val="pl-PL"/>
        </w:rPr>
        <w:t xml:space="preserve"> </w:t>
      </w:r>
    </w:p>
    <w:p w14:paraId="55E4E48E" w14:textId="4E728F7B" w:rsidR="00E40D0C" w:rsidRPr="00A841BB" w:rsidRDefault="00E40D0C" w:rsidP="00E40D0C">
      <w:pPr>
        <w:pStyle w:val="Tekstpodstawowy"/>
        <w:keepLines/>
        <w:widowControl w:val="0"/>
        <w:adjustRightInd w:val="0"/>
        <w:spacing w:after="240" w:line="300" w:lineRule="auto"/>
        <w:ind w:left="567"/>
        <w:jc w:val="left"/>
        <w:textAlignment w:val="baseline"/>
        <w:rPr>
          <w:rFonts w:ascii="Calibri" w:hAnsi="Calibri" w:cs="Calibri"/>
          <w:sz w:val="22"/>
          <w:szCs w:val="22"/>
          <w:lang w:val="pl-PL" w:bidi="ar-TN"/>
        </w:rPr>
      </w:pPr>
      <w:r>
        <w:rPr>
          <w:rFonts w:ascii="Calibri" w:hAnsi="Calibri" w:cs="Calibri"/>
          <w:color w:val="auto"/>
          <w:sz w:val="22"/>
          <w:szCs w:val="22"/>
          <w:lang w:val="pl-PL"/>
        </w:rPr>
        <w:t>Urząd Dzielnicy Rembertów m.st. Warszawy</w:t>
      </w:r>
      <w:r w:rsidRPr="00A841BB">
        <w:rPr>
          <w:rFonts w:ascii="Calibri" w:hAnsi="Calibri" w:cs="Calibri"/>
          <w:sz w:val="22"/>
          <w:szCs w:val="22"/>
          <w:lang w:val="pl-PL" w:bidi="ar-TN"/>
        </w:rPr>
        <w:t xml:space="preserve"> </w:t>
      </w:r>
    </w:p>
    <w:p w14:paraId="4920EE15" w14:textId="77777777" w:rsidR="00E40D0C" w:rsidRDefault="00E40D0C" w:rsidP="005E7D8C">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p>
    <w:p w14:paraId="0F5A74F2" w14:textId="77777777" w:rsidR="00E40D0C" w:rsidRPr="00A841BB" w:rsidRDefault="00E40D0C" w:rsidP="00E40D0C">
      <w:pPr>
        <w:pStyle w:val="Tekstpodstawowy"/>
        <w:keepLines/>
        <w:widowControl w:val="0"/>
        <w:adjustRightInd w:val="0"/>
        <w:spacing w:after="240" w:line="300" w:lineRule="auto"/>
        <w:ind w:left="567"/>
        <w:jc w:val="left"/>
        <w:textAlignment w:val="baseline"/>
        <w:rPr>
          <w:rFonts w:ascii="Calibri" w:hAnsi="Calibri" w:cs="Calibri"/>
          <w:color w:val="auto"/>
          <w:sz w:val="22"/>
          <w:szCs w:val="22"/>
          <w:lang w:val="pl-PL"/>
        </w:rPr>
      </w:pPr>
      <w:r>
        <w:rPr>
          <w:rFonts w:ascii="Calibri" w:hAnsi="Calibri" w:cs="Calibri"/>
          <w:color w:val="auto"/>
          <w:sz w:val="22"/>
          <w:szCs w:val="22"/>
          <w:lang w:val="pl-PL"/>
        </w:rPr>
        <w:t>Warszawa</w:t>
      </w:r>
    </w:p>
    <w:p w14:paraId="1C452F2C" w14:textId="77777777" w:rsidR="00E40D0C" w:rsidRDefault="00E40D0C" w:rsidP="005E7D8C">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p>
    <w:p w14:paraId="252F7ADC" w14:textId="77777777" w:rsidR="00E40D0C" w:rsidRPr="00A841BB" w:rsidRDefault="00E40D0C" w:rsidP="00E40D0C">
      <w:pPr>
        <w:pStyle w:val="Tekstpodstawowy"/>
        <w:keepLines/>
        <w:widowControl w:val="0"/>
        <w:adjustRightInd w:val="0"/>
        <w:spacing w:after="240" w:line="300" w:lineRule="auto"/>
        <w:ind w:left="567"/>
        <w:jc w:val="left"/>
        <w:textAlignment w:val="baseline"/>
        <w:rPr>
          <w:rFonts w:ascii="Calibri" w:hAnsi="Calibri" w:cs="Calibri"/>
          <w:color w:val="auto"/>
          <w:sz w:val="22"/>
          <w:szCs w:val="22"/>
          <w:lang w:val="pl-PL"/>
        </w:rPr>
      </w:pPr>
      <w:r>
        <w:rPr>
          <w:rFonts w:ascii="Calibri" w:hAnsi="Calibri" w:cs="Calibri"/>
          <w:color w:val="auto"/>
          <w:sz w:val="22"/>
          <w:szCs w:val="22"/>
          <w:lang w:val="pl-PL"/>
        </w:rPr>
        <w:t>Al. Gen A. Chruściela 28, 04-401 Warszawa</w:t>
      </w:r>
    </w:p>
    <w:p w14:paraId="29891587" w14:textId="77777777" w:rsidR="00E40D0C" w:rsidRDefault="00E40D0C" w:rsidP="005E7D8C">
      <w:pPr>
        <w:pStyle w:val="Tekstpodstawowy"/>
        <w:keepLines/>
        <w:widowControl w:val="0"/>
        <w:numPr>
          <w:ilvl w:val="1"/>
          <w:numId w:val="5"/>
        </w:numPr>
        <w:adjustRightInd w:val="0"/>
        <w:spacing w:after="240" w:line="300" w:lineRule="auto"/>
        <w:ind w:left="992" w:hanging="425"/>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0B0B9A16" w14:textId="77777777" w:rsidR="00E40D0C" w:rsidRDefault="00E40D0C" w:rsidP="00E40D0C">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Dzielnica działa na podstawie ustaw: Statutu m.st. Warszawy, Statutu i innych uchwał Rady Miasta. Do zakresu działania Dzielnicy należą, niezastrzeżone dla organów Miasta, sprawy lokalne o zasięgu dzielnicowym tj.:</w:t>
      </w:r>
    </w:p>
    <w:p w14:paraId="572300C1"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Inwestycji;</w:t>
      </w:r>
    </w:p>
    <w:p w14:paraId="74E0BFE1"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Gminnych zasobów lokalowych położonych na obszarze Dzielnicy;</w:t>
      </w:r>
    </w:p>
    <w:p w14:paraId="6D2E1DC9"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Nieruchomości Miasta położonych na terenie Dzielnicy</w:t>
      </w:r>
    </w:p>
    <w:p w14:paraId="1D399C63" w14:textId="1D00C2E2"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 xml:space="preserve">Nabywania i zbywania nieruchomości Miasta, położonych na obszarze Dzielnicy, </w:t>
      </w:r>
      <w:r>
        <w:rPr>
          <w:rFonts w:ascii="Calibri" w:hAnsi="Calibri" w:cs="Calibri"/>
          <w:color w:val="auto"/>
          <w:sz w:val="22"/>
          <w:szCs w:val="22"/>
          <w:lang w:val="pl-PL"/>
        </w:rPr>
        <w:br/>
        <w:t>w zakresie i trybie określonym zarządzeniem Prezydenta, jednostek organizacyjnych Miasta położonych na obszarze Dzielnicy i niezaliczanych</w:t>
      </w:r>
      <w:r w:rsidR="003D32C5">
        <w:rPr>
          <w:rFonts w:ascii="Calibri" w:hAnsi="Calibri" w:cs="Calibri"/>
          <w:color w:val="auto"/>
          <w:sz w:val="22"/>
          <w:szCs w:val="22"/>
          <w:lang w:val="pl-PL"/>
        </w:rPr>
        <w:t xml:space="preserve"> do podmiotów o znaczeniu ponad</w:t>
      </w:r>
      <w:r w:rsidR="000E215F">
        <w:rPr>
          <w:rFonts w:ascii="Calibri" w:hAnsi="Calibri" w:cs="Calibri"/>
          <w:color w:val="auto"/>
          <w:sz w:val="22"/>
          <w:szCs w:val="22"/>
          <w:lang w:val="pl-PL"/>
        </w:rPr>
        <w:t xml:space="preserve"> </w:t>
      </w:r>
      <w:bookmarkStart w:id="0" w:name="_GoBack"/>
      <w:bookmarkEnd w:id="0"/>
      <w:r>
        <w:rPr>
          <w:rFonts w:ascii="Calibri" w:hAnsi="Calibri" w:cs="Calibri"/>
          <w:color w:val="auto"/>
          <w:sz w:val="22"/>
          <w:szCs w:val="22"/>
          <w:lang w:val="pl-PL"/>
        </w:rPr>
        <w:t>dzielnicowym uchwałą Rady Miasta: Placówek oświaty i wychowania, jednostek organizacyjnych, których działalność statutowa dotyczy obsługi finansowej w zakresie oświaty, jednostek organizacyjnych pomocy społecznej, domów kultury, bibliotek, ośrodków sportu i rekreacji, jednostek organizacyjnych Miasta, których działalność statutowa dotyczy zarządu zasobem lokalowym, innych jednostek określonych w uchwale Rady Miasta;</w:t>
      </w:r>
    </w:p>
    <w:p w14:paraId="463138E3"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Zieleni oraz dróg wewnętrznych stanowiących własność lub będących we władaniu Miasta, z wyłączeniem terenów zieleni i dróg przekazanych w zarząd innym podmiotom;</w:t>
      </w:r>
    </w:p>
    <w:p w14:paraId="69603BC5"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Dzielnicowych obiektów administracyjnych;</w:t>
      </w:r>
    </w:p>
    <w:p w14:paraId="2BE1F692"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Jednostek niższego rzędu utworzonych na obszarze Dzielnicy;</w:t>
      </w:r>
    </w:p>
    <w:p w14:paraId="16BCF823"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Ochrony praw lokatorów i dodatków mieszkaniowych</w:t>
      </w:r>
    </w:p>
    <w:p w14:paraId="6A8819EC"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Działalności kulturalnej;</w:t>
      </w:r>
    </w:p>
    <w:p w14:paraId="02577051"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Ochrony środowiska, ochrony zwierząt i gospodarki wodnej, w tym gospodarki wodami opadowymi i roztopowymi;</w:t>
      </w:r>
    </w:p>
    <w:p w14:paraId="6F7C9762"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Dróg publicznych, z wyłączeniem dróg przekazanych innym podmiotom, a także transportu drogowego, ruchu drogowego i przewozów;</w:t>
      </w:r>
    </w:p>
    <w:p w14:paraId="19C88125" w14:textId="656D4F67" w:rsidR="00E40D0C" w:rsidRDefault="003D32C5"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Architektury i budownictwa</w:t>
      </w:r>
      <w:r w:rsidR="00E40D0C">
        <w:rPr>
          <w:rFonts w:ascii="Calibri" w:hAnsi="Calibri" w:cs="Calibri"/>
          <w:color w:val="auto"/>
          <w:sz w:val="22"/>
          <w:szCs w:val="22"/>
          <w:lang w:val="pl-PL"/>
        </w:rPr>
        <w:t>;</w:t>
      </w:r>
    </w:p>
    <w:p w14:paraId="08DF0012" w14:textId="671462D4" w:rsidR="003D32C5" w:rsidRDefault="003D32C5"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Ewidencji działalności gospodarczej;</w:t>
      </w:r>
    </w:p>
    <w:p w14:paraId="3C0F1A45"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Promocji Dzielnicy;</w:t>
      </w:r>
    </w:p>
    <w:p w14:paraId="2A6F9AE4"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Miejsc pamięci narodowej;</w:t>
      </w:r>
    </w:p>
    <w:p w14:paraId="1695DDCB"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Współpracy z podmiotami prowadzącymi działalność pożytki publicznego;</w:t>
      </w:r>
    </w:p>
    <w:p w14:paraId="0E6A7ABC"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Innych spraw przekazanych Dzielnicy uchwałą Rady Miasta</w:t>
      </w:r>
    </w:p>
    <w:p w14:paraId="25F32470" w14:textId="77777777" w:rsidR="00E40D0C" w:rsidRPr="00A841BB" w:rsidRDefault="00E40D0C" w:rsidP="00E40D0C">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Dzielnicy mogą być również przekazywane inne zadania należące do Miasta.</w:t>
      </w:r>
    </w:p>
    <w:p w14:paraId="7BC9A19E" w14:textId="77777777" w:rsidR="00E40D0C" w:rsidRDefault="00E40D0C" w:rsidP="005E7D8C">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841BB">
        <w:rPr>
          <w:rFonts w:ascii="Calibri" w:hAnsi="Calibri" w:cs="Calibri"/>
          <w:sz w:val="22"/>
          <w:szCs w:val="22"/>
          <w:lang w:val="pl-PL"/>
        </w:rPr>
        <w:t>Wskazanie okresu objętego sprawozdaniem</w:t>
      </w:r>
    </w:p>
    <w:p w14:paraId="014A2ECD" w14:textId="44885347" w:rsidR="00E40D0C" w:rsidRPr="00C23BA0" w:rsidRDefault="00E40D0C" w:rsidP="00E40D0C">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sidRPr="00C23BA0">
        <w:rPr>
          <w:rFonts w:ascii="Calibri" w:hAnsi="Calibri" w:cs="Calibri"/>
          <w:color w:val="auto"/>
          <w:sz w:val="22"/>
          <w:szCs w:val="22"/>
          <w:lang w:val="pl-PL"/>
        </w:rPr>
        <w:t xml:space="preserve">Sprawozdanie finansowe Urzędu Dzielnicy Rembertów m.st. Warszawy obejmuje </w:t>
      </w:r>
      <w:r>
        <w:rPr>
          <w:rFonts w:ascii="Calibri" w:hAnsi="Calibri" w:cs="Calibri"/>
          <w:color w:val="auto"/>
          <w:sz w:val="22"/>
          <w:szCs w:val="22"/>
          <w:lang w:val="pl-PL"/>
        </w:rPr>
        <w:t>rok obrotowy trwający od 1 stycznia 202</w:t>
      </w:r>
      <w:r w:rsidR="009C609F">
        <w:rPr>
          <w:rFonts w:ascii="Calibri" w:hAnsi="Calibri" w:cs="Calibri"/>
          <w:color w:val="auto"/>
          <w:sz w:val="22"/>
          <w:szCs w:val="22"/>
          <w:lang w:val="pl-PL"/>
        </w:rPr>
        <w:t>4</w:t>
      </w:r>
      <w:r>
        <w:rPr>
          <w:rFonts w:ascii="Calibri" w:hAnsi="Calibri" w:cs="Calibri"/>
          <w:color w:val="auto"/>
          <w:sz w:val="22"/>
          <w:szCs w:val="22"/>
          <w:lang w:val="pl-PL"/>
        </w:rPr>
        <w:t xml:space="preserve"> r. do 31 grudnia 202</w:t>
      </w:r>
      <w:r w:rsidR="009C609F">
        <w:rPr>
          <w:rFonts w:ascii="Calibri" w:hAnsi="Calibri" w:cs="Calibri"/>
          <w:color w:val="auto"/>
          <w:sz w:val="22"/>
          <w:szCs w:val="22"/>
          <w:lang w:val="pl-PL"/>
        </w:rPr>
        <w:t>4</w:t>
      </w:r>
      <w:r>
        <w:rPr>
          <w:rFonts w:ascii="Calibri" w:hAnsi="Calibri" w:cs="Calibri"/>
          <w:color w:val="auto"/>
          <w:sz w:val="22"/>
          <w:szCs w:val="22"/>
          <w:lang w:val="pl-PL"/>
        </w:rPr>
        <w:t xml:space="preserve"> r. Dane w bilansie prezentowane są za okres od 1 stycznia 202</w:t>
      </w:r>
      <w:r w:rsidR="009C609F">
        <w:rPr>
          <w:rFonts w:ascii="Calibri" w:hAnsi="Calibri" w:cs="Calibri"/>
          <w:color w:val="auto"/>
          <w:sz w:val="22"/>
          <w:szCs w:val="22"/>
          <w:lang w:val="pl-PL"/>
        </w:rPr>
        <w:t>4</w:t>
      </w:r>
      <w:r>
        <w:rPr>
          <w:rFonts w:ascii="Calibri" w:hAnsi="Calibri" w:cs="Calibri"/>
          <w:color w:val="auto"/>
          <w:sz w:val="22"/>
          <w:szCs w:val="22"/>
          <w:lang w:val="pl-PL"/>
        </w:rPr>
        <w:t xml:space="preserve"> r. do 31 grudnia 202</w:t>
      </w:r>
      <w:r w:rsidR="009C609F">
        <w:rPr>
          <w:rFonts w:ascii="Calibri" w:hAnsi="Calibri" w:cs="Calibri"/>
          <w:color w:val="auto"/>
          <w:sz w:val="22"/>
          <w:szCs w:val="22"/>
          <w:lang w:val="pl-PL"/>
        </w:rPr>
        <w:t>4</w:t>
      </w:r>
      <w:r>
        <w:rPr>
          <w:rFonts w:ascii="Calibri" w:hAnsi="Calibri" w:cs="Calibri"/>
          <w:color w:val="auto"/>
          <w:sz w:val="22"/>
          <w:szCs w:val="22"/>
          <w:lang w:val="pl-PL"/>
        </w:rPr>
        <w:t xml:space="preserve"> r. Dane w rachunku zysków i strat oraz w zestawieniu zmian w funduszu prezentowane są za okres obrotowy 202</w:t>
      </w:r>
      <w:r w:rsidR="009C609F">
        <w:rPr>
          <w:rFonts w:ascii="Calibri" w:hAnsi="Calibri" w:cs="Calibri"/>
          <w:color w:val="auto"/>
          <w:sz w:val="22"/>
          <w:szCs w:val="22"/>
          <w:lang w:val="pl-PL"/>
        </w:rPr>
        <w:t>3</w:t>
      </w:r>
      <w:r>
        <w:rPr>
          <w:rFonts w:ascii="Calibri" w:hAnsi="Calibri" w:cs="Calibri"/>
          <w:color w:val="auto"/>
          <w:sz w:val="22"/>
          <w:szCs w:val="22"/>
          <w:lang w:val="pl-PL"/>
        </w:rPr>
        <w:t xml:space="preserve"> r. i 202</w:t>
      </w:r>
      <w:r w:rsidR="009C609F">
        <w:rPr>
          <w:rFonts w:ascii="Calibri" w:hAnsi="Calibri" w:cs="Calibri"/>
          <w:color w:val="auto"/>
          <w:sz w:val="22"/>
          <w:szCs w:val="22"/>
          <w:lang w:val="pl-PL"/>
        </w:rPr>
        <w:t>4</w:t>
      </w:r>
      <w:r>
        <w:rPr>
          <w:rFonts w:ascii="Calibri" w:hAnsi="Calibri" w:cs="Calibri"/>
          <w:color w:val="auto"/>
          <w:sz w:val="22"/>
          <w:szCs w:val="22"/>
          <w:lang w:val="pl-PL"/>
        </w:rPr>
        <w:t xml:space="preserve"> r.</w:t>
      </w:r>
    </w:p>
    <w:p w14:paraId="15F22074" w14:textId="77777777" w:rsidR="00E40D0C" w:rsidRDefault="00E40D0C" w:rsidP="005E7D8C">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841BB">
        <w:rPr>
          <w:rFonts w:ascii="Calibri" w:hAnsi="Calibri" w:cs="Calibri"/>
          <w:sz w:val="22"/>
          <w:szCs w:val="22"/>
          <w:lang w:val="pl-PL"/>
        </w:rPr>
        <w:t>Wskazanie, że sprawozdanie zawiera dane łączne</w:t>
      </w:r>
    </w:p>
    <w:p w14:paraId="04D3BB8A" w14:textId="77777777" w:rsidR="00E40D0C" w:rsidRPr="00093FC4" w:rsidRDefault="00E40D0C" w:rsidP="00E40D0C">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sidRPr="00093FC4">
        <w:rPr>
          <w:rFonts w:ascii="Calibri" w:hAnsi="Calibri" w:cs="Calibri"/>
          <w:color w:val="auto"/>
          <w:sz w:val="22"/>
          <w:szCs w:val="22"/>
          <w:lang w:val="pl-PL"/>
        </w:rPr>
        <w:t xml:space="preserve">Nie </w:t>
      </w:r>
      <w:r>
        <w:rPr>
          <w:rFonts w:ascii="Calibri" w:hAnsi="Calibri" w:cs="Calibri"/>
          <w:color w:val="auto"/>
          <w:sz w:val="22"/>
          <w:szCs w:val="22"/>
          <w:lang w:val="pl-PL"/>
        </w:rPr>
        <w:t>dotyczy Urzędu Dzielnicy Rembertów m.st. Warszawy.</w:t>
      </w:r>
    </w:p>
    <w:p w14:paraId="49CE615B" w14:textId="77777777" w:rsidR="00E40D0C" w:rsidRPr="00B95D70" w:rsidRDefault="00E40D0C" w:rsidP="005E7D8C">
      <w:pPr>
        <w:pStyle w:val="Nagwek2"/>
        <w:widowControl w:val="0"/>
        <w:numPr>
          <w:ilvl w:val="0"/>
          <w:numId w:val="9"/>
        </w:numPr>
        <w:adjustRightInd w:val="0"/>
        <w:spacing w:after="240" w:line="300" w:lineRule="auto"/>
        <w:textAlignment w:val="baseline"/>
        <w:rPr>
          <w:rFonts w:ascii="Calibri" w:hAnsi="Calibri" w:cs="Calibri"/>
          <w:sz w:val="22"/>
          <w:szCs w:val="22"/>
          <w:lang w:val="pl-PL"/>
        </w:rPr>
      </w:pPr>
      <w:r w:rsidRPr="00A841BB">
        <w:rPr>
          <w:rFonts w:ascii="Calibri" w:hAnsi="Calibri" w:cs="Calibri"/>
          <w:sz w:val="22"/>
          <w:szCs w:val="22"/>
          <w:lang w:val="pl-PL"/>
        </w:rPr>
        <w:t>Przyjęte zasady (polityki) rachunkowości, w tym metody wyceny aktywów i pasywów</w:t>
      </w:r>
    </w:p>
    <w:p w14:paraId="0D79B571" w14:textId="77777777" w:rsidR="00E40D0C" w:rsidRDefault="00E40D0C" w:rsidP="00E40D0C">
      <w:pPr>
        <w:pStyle w:val="Nagwek2"/>
        <w:widowControl w:val="0"/>
        <w:adjustRightInd w:val="0"/>
        <w:spacing w:after="240" w:line="300" w:lineRule="auto"/>
        <w:ind w:left="567"/>
        <w:textAlignment w:val="baseline"/>
        <w:rPr>
          <w:rFonts w:ascii="Calibri" w:hAnsi="Calibri" w:cs="Calibri"/>
          <w:b w:val="0"/>
          <w:sz w:val="22"/>
          <w:szCs w:val="22"/>
          <w:lang w:val="pl-PL"/>
        </w:rPr>
      </w:pPr>
      <w:r w:rsidRPr="00B95D70">
        <w:rPr>
          <w:rFonts w:ascii="Calibri" w:hAnsi="Calibri" w:cs="Calibri"/>
          <w:sz w:val="22"/>
          <w:szCs w:val="22"/>
          <w:lang w:val="pl-PL"/>
        </w:rPr>
        <w:t>Wartości niematerialne i prawne</w:t>
      </w:r>
      <w:r>
        <w:rPr>
          <w:rFonts w:ascii="Calibri" w:hAnsi="Calibri" w:cs="Calibri"/>
          <w:b w:val="0"/>
          <w:sz w:val="22"/>
          <w:szCs w:val="22"/>
          <w:lang w:val="pl-PL"/>
        </w:rPr>
        <w:t xml:space="preserve"> wyceniane są według cen nabycia lub kosztu wytworzenia pomniejszonych o odpisy umorzeniowe i odpisy z tytułu trwałej utraty wartości. Wartości niematerialne i prawne, o wartości do 10.000 zł i okresie używania dłuższym niż 1 rok, podlegają umorzeniu w pełnej wartości w miesiącu wydania do używania. Wartości niematerialne i prawne, o wartości jednostkowej powyżej 10.000 zł i okresie używania dłuższym niż rok, podlegają umorzeniu nie rzadziej niż raz w roku, według następujących stawek umorzeniowych:</w:t>
      </w:r>
    </w:p>
    <w:p w14:paraId="113275E3" w14:textId="6ADAA7F6"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20% dla wartości niematerialnych i prawnych, których jednostkowa wartość początkowa jest równa bądź większa 100.000 zł nabytych na czas nieokreślony lub określony powyżej lub równy 5 lat;</w:t>
      </w:r>
    </w:p>
    <w:p w14:paraId="57E14407" w14:textId="7777777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50% dla wartości niematerialnych i prawnych, których jednostkowa wartość początkowa zawiera się w przedziale kwotowym powyżej 10.000 zł i nie większym niż 100.000 zł nabytych na czas nieokreślony lub określony powyżej 1 roku</w:t>
      </w:r>
    </w:p>
    <w:p w14:paraId="77FBB414" w14:textId="6DA3B0E7" w:rsidR="00E40D0C" w:rsidRDefault="00E40D0C" w:rsidP="005E7D8C">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50% dla wartości niematerialnych i prawnych, których jednostkowa wartość początkowa jest równa lub wyższa niż 100.000 zł nabytych na czas określony powyżej 1 roku i nie dłużej niż</w:t>
      </w:r>
      <w:r w:rsidR="003D32C5">
        <w:rPr>
          <w:rFonts w:ascii="Calibri" w:hAnsi="Calibri" w:cs="Calibri"/>
          <w:color w:val="auto"/>
          <w:sz w:val="22"/>
          <w:szCs w:val="22"/>
          <w:lang w:val="pl-PL"/>
        </w:rPr>
        <w:t xml:space="preserve"> 5 lat.</w:t>
      </w:r>
    </w:p>
    <w:p w14:paraId="0E3866EB" w14:textId="77777777" w:rsidR="00E40D0C" w:rsidRDefault="00E40D0C" w:rsidP="00E40D0C">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sidRPr="00B95D70">
        <w:rPr>
          <w:rFonts w:ascii="Calibri" w:hAnsi="Calibri" w:cs="Calibri"/>
          <w:b/>
          <w:color w:val="auto"/>
          <w:sz w:val="22"/>
          <w:szCs w:val="22"/>
          <w:lang w:val="pl-PL"/>
        </w:rPr>
        <w:t>Środki trwałe</w:t>
      </w:r>
      <w:r>
        <w:rPr>
          <w:rFonts w:ascii="Calibri" w:hAnsi="Calibri" w:cs="Calibri"/>
          <w:color w:val="auto"/>
          <w:sz w:val="22"/>
          <w:szCs w:val="22"/>
          <w:lang w:val="pl-PL"/>
        </w:rPr>
        <w:t xml:space="preserv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trwałej utraty wartości, w przypadku, gdy w decyzji nie została określona wartość – według ceny sprzedaży takiego samego środka trwałego lub podobnego. Cena nabycia i koszt wytworzenia środków trwałych obejmują również koszt obsługi zobowiązań zaciągniętych i wykorzystanych w celu ich finansowania za okres budowy, montażu i przystosowania. Cenę nabycia lub koszt wytworzenia środka trwałego powiększają koszt jego ulepszenia. Środki trwałe, z wyjątkiem gruntów amortyzowane są liniowo przy zastosowaniu stawek określonych w przepisach o podatku dochodowym od osób prawnych, z godnie z rozporządzeniem w sprawie rachunkowości budżetowej z 2017 r., za wyjątkiem stawki dotyczącej prawa wieczystego użytkowania gruntów, ustalonej przez Miasto na podstawie szacunków dotyczących długości trwania umów użytkowania wieczystego gruntów. Podstawowe stawki amortyzacji stosowane przez Dzielnicę:</w:t>
      </w:r>
    </w:p>
    <w:p w14:paraId="24D0FE65" w14:textId="77777777" w:rsidR="00E40D0C" w:rsidRDefault="00E40D0C" w:rsidP="005E7D8C">
      <w:pPr>
        <w:pStyle w:val="Tekstpodstawowy"/>
        <w:keepLines/>
        <w:widowControl w:val="0"/>
        <w:numPr>
          <w:ilvl w:val="0"/>
          <w:numId w:val="10"/>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Budynki, lokale i obiekty inżynierii lądowej i wodnej</w:t>
      </w:r>
      <w:r>
        <w:rPr>
          <w:rFonts w:ascii="Calibri" w:hAnsi="Calibri" w:cs="Calibri"/>
          <w:color w:val="auto"/>
          <w:sz w:val="22"/>
          <w:szCs w:val="22"/>
          <w:lang w:val="pl-PL"/>
        </w:rPr>
        <w:tab/>
        <w:t>1,5% ÷ 10%</w:t>
      </w:r>
    </w:p>
    <w:p w14:paraId="00BC24F0" w14:textId="77777777" w:rsidR="00E40D0C" w:rsidRDefault="00E40D0C" w:rsidP="005E7D8C">
      <w:pPr>
        <w:pStyle w:val="Tekstpodstawowy"/>
        <w:keepLines/>
        <w:widowControl w:val="0"/>
        <w:numPr>
          <w:ilvl w:val="0"/>
          <w:numId w:val="10"/>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Urządzenia techniczne i maszyny</w:t>
      </w:r>
      <w:r>
        <w:rPr>
          <w:rFonts w:ascii="Calibri" w:hAnsi="Calibri" w:cs="Calibri"/>
          <w:color w:val="auto"/>
          <w:sz w:val="22"/>
          <w:szCs w:val="22"/>
          <w:lang w:val="pl-PL"/>
        </w:rPr>
        <w:tab/>
        <w:t>4,5% ÷ 30%</w:t>
      </w:r>
    </w:p>
    <w:p w14:paraId="4CE1C029" w14:textId="01155174" w:rsidR="00E40D0C" w:rsidRDefault="00E40D0C" w:rsidP="005E7D8C">
      <w:pPr>
        <w:pStyle w:val="Tekstpodstawowy"/>
        <w:keepLines/>
        <w:widowControl w:val="0"/>
        <w:numPr>
          <w:ilvl w:val="0"/>
          <w:numId w:val="10"/>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Środki transportu</w:t>
      </w:r>
      <w:r>
        <w:rPr>
          <w:rFonts w:ascii="Calibri" w:hAnsi="Calibri" w:cs="Calibri"/>
          <w:color w:val="auto"/>
          <w:sz w:val="22"/>
          <w:szCs w:val="22"/>
          <w:lang w:val="pl-PL"/>
        </w:rPr>
        <w:tab/>
      </w:r>
      <w:r w:rsidR="00CC323D">
        <w:rPr>
          <w:rFonts w:ascii="Calibri" w:hAnsi="Calibri" w:cs="Calibri"/>
          <w:color w:val="auto"/>
          <w:sz w:val="22"/>
          <w:szCs w:val="22"/>
          <w:lang w:val="pl-PL"/>
        </w:rPr>
        <w:t>14</w:t>
      </w:r>
      <w:r>
        <w:rPr>
          <w:rFonts w:ascii="Calibri" w:hAnsi="Calibri" w:cs="Calibri"/>
          <w:color w:val="auto"/>
          <w:sz w:val="22"/>
          <w:szCs w:val="22"/>
          <w:lang w:val="pl-PL"/>
        </w:rPr>
        <w:t>% ÷ 20%</w:t>
      </w:r>
    </w:p>
    <w:p w14:paraId="0B95CED9" w14:textId="6FB1707A" w:rsidR="00E40D0C" w:rsidRDefault="00E40D0C" w:rsidP="005E7D8C">
      <w:pPr>
        <w:pStyle w:val="Tekstpodstawowy"/>
        <w:keepLines/>
        <w:widowControl w:val="0"/>
        <w:numPr>
          <w:ilvl w:val="0"/>
          <w:numId w:val="10"/>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Inne środki trwałe</w:t>
      </w:r>
      <w:r>
        <w:rPr>
          <w:rFonts w:ascii="Calibri" w:hAnsi="Calibri" w:cs="Calibri"/>
          <w:color w:val="auto"/>
          <w:sz w:val="22"/>
          <w:szCs w:val="22"/>
          <w:lang w:val="pl-PL"/>
        </w:rPr>
        <w:tab/>
        <w:t>10% ÷ 2</w:t>
      </w:r>
      <w:r w:rsidR="00CC323D">
        <w:rPr>
          <w:rFonts w:ascii="Calibri" w:hAnsi="Calibri" w:cs="Calibri"/>
          <w:color w:val="auto"/>
          <w:sz w:val="22"/>
          <w:szCs w:val="22"/>
          <w:lang w:val="pl-PL"/>
        </w:rPr>
        <w:t>5</w:t>
      </w:r>
      <w:r>
        <w:rPr>
          <w:rFonts w:ascii="Calibri" w:hAnsi="Calibri" w:cs="Calibri"/>
          <w:color w:val="auto"/>
          <w:sz w:val="22"/>
          <w:szCs w:val="22"/>
          <w:lang w:val="pl-PL"/>
        </w:rPr>
        <w:t>%</w:t>
      </w:r>
    </w:p>
    <w:p w14:paraId="0D2D13A2" w14:textId="77777777" w:rsidR="00E40D0C" w:rsidRDefault="00E40D0C" w:rsidP="005E7D8C">
      <w:pPr>
        <w:pStyle w:val="Tekstpodstawowy"/>
        <w:keepLines/>
        <w:widowControl w:val="0"/>
        <w:numPr>
          <w:ilvl w:val="0"/>
          <w:numId w:val="10"/>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Prawo wieczystego użytkowania gruntu</w:t>
      </w:r>
      <w:r>
        <w:rPr>
          <w:rFonts w:ascii="Calibri" w:hAnsi="Calibri" w:cs="Calibri"/>
          <w:color w:val="auto"/>
          <w:sz w:val="22"/>
          <w:szCs w:val="22"/>
          <w:lang w:val="pl-PL"/>
        </w:rPr>
        <w:tab/>
        <w:t>2,5%</w:t>
      </w:r>
    </w:p>
    <w:p w14:paraId="1556D531" w14:textId="0534EE39"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Środki trwałe o niskiej jednostkowej wartości początkowej, tj. do 10.000 zł, umarz</w:t>
      </w:r>
      <w:r w:rsidR="00CC323D">
        <w:rPr>
          <w:rFonts w:ascii="Calibri" w:hAnsi="Calibri" w:cs="Calibri"/>
          <w:color w:val="auto"/>
          <w:sz w:val="22"/>
          <w:szCs w:val="22"/>
          <w:lang w:val="pl-PL"/>
        </w:rPr>
        <w:t>a</w:t>
      </w:r>
      <w:r>
        <w:rPr>
          <w:rFonts w:ascii="Calibri" w:hAnsi="Calibri" w:cs="Calibri"/>
          <w:color w:val="auto"/>
          <w:sz w:val="22"/>
          <w:szCs w:val="22"/>
          <w:lang w:val="pl-PL"/>
        </w:rPr>
        <w:t xml:space="preserve"> się jednorazowo w miesiącu przekazania ich do użytkowania.</w:t>
      </w:r>
    </w:p>
    <w:p w14:paraId="3F3D7A23"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sidRPr="008F3C91">
        <w:rPr>
          <w:rFonts w:ascii="Calibri" w:hAnsi="Calibri" w:cs="Calibri"/>
          <w:b/>
          <w:color w:val="auto"/>
          <w:sz w:val="22"/>
          <w:szCs w:val="22"/>
          <w:lang w:val="pl-PL"/>
        </w:rPr>
        <w:t>Środki trwałe w budowie</w:t>
      </w:r>
      <w:r>
        <w:rPr>
          <w:rFonts w:ascii="Calibri" w:hAnsi="Calibri" w:cs="Calibri"/>
          <w:color w:val="auto"/>
          <w:sz w:val="22"/>
          <w:szCs w:val="22"/>
          <w:lang w:val="pl-PL"/>
        </w:rPr>
        <w:t xml:space="preserve"> są wyceniane wg kosztów związanych bezpośrednio z nabyciem lub wytworzeniem danego środka trwałego. Cena nabycia i koszt wytworzenia środków trwałych w budowie obejmują również koszt obsługi zobowiązań zaciągniętych i wykorzystanych w celu ich finansowania za okres budowy, montażu i przystosowania. Środki trwałe w budowie nie są amortyzowane do momentu zakończenia budowy i oddania do użytkowania.</w:t>
      </w:r>
    </w:p>
    <w:p w14:paraId="3483798A"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Dobra kultury</w:t>
      </w:r>
      <w:r>
        <w:rPr>
          <w:rFonts w:ascii="Calibri" w:hAnsi="Calibri" w:cs="Calibri"/>
          <w:color w:val="auto"/>
          <w:sz w:val="22"/>
          <w:szCs w:val="22"/>
          <w:lang w:val="pl-PL"/>
        </w:rPr>
        <w:t xml:space="preserve"> to przedmioty ruchome lub nieruchome, dawne lub współczesne, mające znaczenie dla dziedzictwa i rozwoju kulturalnego ze względu na ich wartość historyczną, naukową lub artystyczną. Dobra kultury nie podlegają umorzeniu.</w:t>
      </w:r>
    </w:p>
    <w:p w14:paraId="32DA8165"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lastRenderedPageBreak/>
        <w:t>Należności krótko- i długoterminowe</w:t>
      </w:r>
      <w:r>
        <w:rPr>
          <w:rFonts w:ascii="Calibri" w:hAnsi="Calibri" w:cs="Calibri"/>
          <w:color w:val="auto"/>
          <w:sz w:val="22"/>
          <w:szCs w:val="22"/>
          <w:lang w:val="pl-PL"/>
        </w:rPr>
        <w:t xml:space="preserve"> wycenia się w kwocie wymaganej zapłaty, z zachowaniem zasady ostrożnej wyceny i wykazuje się w wartości netto (po pomniejszeniu o odpisy aktualizujące). Wartość należności podlega aktualizacji wyceny przy uwzględnieniu stopnia prawdopodobieństwa zapłaty poprzez dokonanie odpisu aktualizującego. 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planu kont dla organów podatkowych jednostek samorządu terytorialnego (Dz. U. z 2010r. Nr 208 poz. 1375), dla których dokonuje się jako pomniejszenie przychodów z tytułu dochodów budżetowych.</w:t>
      </w:r>
    </w:p>
    <w:p w14:paraId="03A2C681"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przekształcenie prawa użytkowania wieczystego w prawo własności, sprzedaż lokali mieszkaniowych i użytkowych, których płatność została rozłożona na raty, a termin spłaty przypada w okresie przekraczającym 12 miesięcy od dnia bilansowego.</w:t>
      </w:r>
    </w:p>
    <w:p w14:paraId="16A5E8EE"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Środki pieniężne</w:t>
      </w:r>
      <w:r>
        <w:rPr>
          <w:rFonts w:ascii="Calibri" w:hAnsi="Calibri" w:cs="Calibri"/>
          <w:color w:val="auto"/>
          <w:sz w:val="22"/>
          <w:szCs w:val="22"/>
          <w:lang w:val="pl-PL"/>
        </w:rPr>
        <w:t xml:space="preserve"> w banku i w kasie wyceniane są według wartości nominalnej.</w:t>
      </w:r>
    </w:p>
    <w:p w14:paraId="75E5B06C"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Rozliczenia międzyokresowe kosztów</w:t>
      </w:r>
      <w:r>
        <w:rPr>
          <w:rFonts w:ascii="Calibri" w:hAnsi="Calibri" w:cs="Calibri"/>
          <w:color w:val="auto"/>
          <w:sz w:val="22"/>
          <w:szCs w:val="22"/>
          <w:lang w:val="pl-PL"/>
        </w:rPr>
        <w:t xml:space="preserve"> – czynne obejmują poniesione koszty przyszłych okresów sprawozdawczych.</w:t>
      </w:r>
    </w:p>
    <w:p w14:paraId="07AE27C2"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Fundusz Jednostki</w:t>
      </w:r>
      <w:r>
        <w:rPr>
          <w:rFonts w:ascii="Calibri" w:hAnsi="Calibri" w:cs="Calibri"/>
          <w:color w:val="auto"/>
          <w:sz w:val="22"/>
          <w:szCs w:val="22"/>
          <w:lang w:val="pl-PL"/>
        </w:rPr>
        <w:t xml:space="preserve"> – Urzędu stanowi równowartość aktywów trwałych i obrotowych pomniejszonych o zobowiązania</w:t>
      </w:r>
    </w:p>
    <w:p w14:paraId="3F37EF28"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Na zwiększenie funduszu wpływają m.in.:</w:t>
      </w:r>
    </w:p>
    <w:p w14:paraId="5FDE956A" w14:textId="77777777" w:rsidR="00E40D0C" w:rsidRDefault="00E40D0C" w:rsidP="005E7D8C">
      <w:pPr>
        <w:pStyle w:val="Tekstpodstawowy"/>
        <w:keepLines/>
        <w:widowControl w:val="0"/>
        <w:numPr>
          <w:ilvl w:val="0"/>
          <w:numId w:val="11"/>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Dodatnie wyniki finansowe roku obrotowego (zyski bilansowe), zrealizowane wydatki budżetowe za rok obrotowy, korekty wyniku lat ubiegłych, wartość otrzymanych nieodpłatnie składników majątku obrotowego od jednostek budżetowych, samorządowych zakładów budżetowych oraz innych jednostek;</w:t>
      </w:r>
    </w:p>
    <w:p w14:paraId="7916F313" w14:textId="77777777" w:rsidR="00E40D0C" w:rsidRDefault="00E40D0C" w:rsidP="005E7D8C">
      <w:pPr>
        <w:pStyle w:val="Tekstpodstawowy"/>
        <w:keepLines/>
        <w:widowControl w:val="0"/>
        <w:numPr>
          <w:ilvl w:val="0"/>
          <w:numId w:val="11"/>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Wartość otrzymanych nieodpłatnie środków trwałych i inwestycji (środków trwałych w budowie), zwiększenie dotychczasowej wartości brutto środków trwałych na skutek zarządzonej aktualizacji;</w:t>
      </w:r>
    </w:p>
    <w:p w14:paraId="00780B81" w14:textId="77777777" w:rsidR="00E40D0C" w:rsidRDefault="00E40D0C" w:rsidP="005E7D8C">
      <w:pPr>
        <w:pStyle w:val="Tekstpodstawowy"/>
        <w:keepLines/>
        <w:widowControl w:val="0"/>
        <w:numPr>
          <w:ilvl w:val="0"/>
          <w:numId w:val="11"/>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Środki budżetowe wykorzystane na inwestycje.</w:t>
      </w:r>
    </w:p>
    <w:p w14:paraId="185E010C"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Na zmniejszenie funduszu wpływają m.in.:</w:t>
      </w:r>
    </w:p>
    <w:p w14:paraId="695AF124" w14:textId="77777777" w:rsidR="00E40D0C" w:rsidRDefault="00E40D0C" w:rsidP="005E7D8C">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Ujemny wynik finansowy roku obrotowego (straty bilansowe);</w:t>
      </w:r>
    </w:p>
    <w:p w14:paraId="60E1D7DE" w14:textId="77777777" w:rsidR="00E40D0C" w:rsidRDefault="00E40D0C" w:rsidP="005E7D8C">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Zrealizowane dochody budżetowe za rok obrotowy;</w:t>
      </w:r>
    </w:p>
    <w:p w14:paraId="53234374" w14:textId="77777777" w:rsidR="00E40D0C" w:rsidRDefault="00E40D0C" w:rsidP="005E7D8C">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Nieumorzona wartość rozchodowanych środków trwałych na skutek zużycia, przekazania nieodpłatnego lub sprzedaży, koszty dotyczące sprzedanych lub przekazanych nieodpłatnie inwestycji (środków trwałych w budowie);</w:t>
      </w:r>
    </w:p>
    <w:p w14:paraId="0ADF90E3" w14:textId="77777777" w:rsidR="00E40D0C" w:rsidRDefault="00E40D0C" w:rsidP="005E7D8C">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Wartość składników majątku obrotowego przekazanego nieodpłatnie jednostkom budżetowym lub innym jednostkom na podstawie decyzji kompetentnych władz lub obowiązujących przepisów;</w:t>
      </w:r>
    </w:p>
    <w:p w14:paraId="3DC5FC7A" w14:textId="77777777" w:rsidR="00E40D0C" w:rsidRDefault="00E40D0C" w:rsidP="005E7D8C">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Dotacje z budżetu i środki budżetowe wykorzystane na inwestycje;</w:t>
      </w:r>
    </w:p>
    <w:p w14:paraId="6F73AE02" w14:textId="77777777" w:rsidR="00E40D0C" w:rsidRDefault="00E40D0C" w:rsidP="005E7D8C">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Wartość dotacji przekazanych z budżetu w części uznanej za wykorzystane lub rozliczone.</w:t>
      </w:r>
    </w:p>
    <w:p w14:paraId="43E76CD3"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sidRPr="00DB3821">
        <w:rPr>
          <w:rFonts w:ascii="Calibri" w:hAnsi="Calibri" w:cs="Calibri"/>
          <w:b/>
          <w:color w:val="auto"/>
          <w:sz w:val="22"/>
          <w:szCs w:val="22"/>
          <w:lang w:val="pl-PL"/>
        </w:rPr>
        <w:t>Rezerwy</w:t>
      </w:r>
      <w:r>
        <w:rPr>
          <w:rFonts w:ascii="Calibri" w:hAnsi="Calibri" w:cs="Calibri"/>
          <w:color w:val="auto"/>
          <w:sz w:val="22"/>
          <w:szCs w:val="22"/>
          <w:lang w:val="pl-PL"/>
        </w:rPr>
        <w:t xml:space="preserve"> są tworzone, jeśli na Urzędzie ciąży obowiązek (prawny lub zwyczajowy), wynikający ze zdarzeń przeszłych i jest pewne lub wysoce prawdopodobne, ze wypełnienie tego obowiązku spowoduje wypływ środków lub wydanie innego aktywa oraz gdy można dokonać wiarygodnego oszacowania kwoty zobowiązania. Urząd tworzy rezerwy m.in. na:</w:t>
      </w:r>
    </w:p>
    <w:p w14:paraId="2046BC49" w14:textId="77777777" w:rsidR="00E40D0C" w:rsidRDefault="00E40D0C" w:rsidP="005E7D8C">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Sprawy sądowe, których prawdopodobieństwo wyroku niekorzystnego dla jednostki jest większe niż prawdopodobieństwo wyroku korzystnego;</w:t>
      </w:r>
    </w:p>
    <w:p w14:paraId="54B209FF" w14:textId="77777777" w:rsidR="00E40D0C" w:rsidRDefault="00E40D0C" w:rsidP="005E7D8C">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Odszkodowania z tytułów: wywłaszczenia nieruchomości, zajęcia pasa drogi, bezumownego korzystania z nieruchomości oraz uchwalenia planu miejscowego zagospodarowania przestrzennego.</w:t>
      </w:r>
    </w:p>
    <w:p w14:paraId="4D364E6F" w14:textId="3224CE7E"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 sprawach sądowych oceny prawdopodobieństwa niekorzystnego wyroku dla Urzędu dokonują zatrudnieni prawnicy, określając rokowania co do wyniku sprawy w wartościach oszacowanych: bardzo prawdopodobne – 100%, prawdopodobne – 50%. Rezerwy na zobowiązania na dzień bilansowy zostały wycenione w uzasadnionej i wiarygodnie oszacowanej wartości wraz z oszacowan</w:t>
      </w:r>
      <w:r w:rsidR="00CA1EBC">
        <w:rPr>
          <w:rFonts w:ascii="Calibri" w:hAnsi="Calibri" w:cs="Calibri"/>
          <w:color w:val="auto"/>
          <w:sz w:val="22"/>
          <w:szCs w:val="22"/>
          <w:lang w:val="pl-PL"/>
        </w:rPr>
        <w:t>ą</w:t>
      </w:r>
      <w:r>
        <w:rPr>
          <w:rFonts w:ascii="Calibri" w:hAnsi="Calibri" w:cs="Calibri"/>
          <w:color w:val="auto"/>
          <w:sz w:val="22"/>
          <w:szCs w:val="22"/>
          <w:lang w:val="pl-PL"/>
        </w:rPr>
        <w:t xml:space="preserve"> kwotą odsetek naliczanych od momentu, od którego powstaje roszczenie. Zobowiązania warunkowe ujmowane są w ewidencji pozabilansowej. Rezerwy tworzone są w ciężar pozostałych kosztów operacyjnych</w:t>
      </w:r>
      <w:r w:rsidR="00CA1EBC">
        <w:rPr>
          <w:rFonts w:ascii="Calibri" w:hAnsi="Calibri" w:cs="Calibri"/>
          <w:color w:val="auto"/>
          <w:sz w:val="22"/>
          <w:szCs w:val="22"/>
          <w:lang w:val="pl-PL"/>
        </w:rPr>
        <w:t>, a rezerwy dotyczące nieruchomości lub gruntów w sprawach o zasiedzenie i wydanie nieruchomości ujmowane są w ciężar funduszu</w:t>
      </w:r>
      <w:r>
        <w:rPr>
          <w:rFonts w:ascii="Calibri" w:hAnsi="Calibri" w:cs="Calibri"/>
          <w:color w:val="auto"/>
          <w:sz w:val="22"/>
          <w:szCs w:val="22"/>
          <w:lang w:val="pl-PL"/>
        </w:rPr>
        <w:t>.</w:t>
      </w:r>
    </w:p>
    <w:p w14:paraId="376BC726"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Rozliczenia międzyokresowe przychodów</w:t>
      </w:r>
      <w:r>
        <w:rPr>
          <w:rFonts w:ascii="Calibri" w:hAnsi="Calibri" w:cs="Calibri"/>
          <w:color w:val="auto"/>
          <w:sz w:val="22"/>
          <w:szCs w:val="22"/>
          <w:lang w:val="pl-PL"/>
        </w:rPr>
        <w:t xml:space="preserve"> dokonywane są z zachowaniem zasady ostrożnej wyceny i obejmują w szczególności równowartość otrzymanych lub należnych od kontrahentów środków z tytułu świadczeń, w tym m.in.: za zajęcie pasa drogowego, z tytułu przekształcenie prawa użytkowania wieczystego w prawo własności. Rozliczenia w czasie tych przychodów dokonuje się w celu zaliczenia odpowiednich kwot przychodów do tych okresów sprawozdawczych, których one dotyczą.</w:t>
      </w:r>
    </w:p>
    <w:p w14:paraId="3CC3D9F1"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Zasady ujmowania przychodów</w:t>
      </w:r>
      <w:r>
        <w:rPr>
          <w:rFonts w:ascii="Calibri" w:hAnsi="Calibri" w:cs="Calibri"/>
          <w:color w:val="auto"/>
          <w:sz w:val="22"/>
          <w:szCs w:val="22"/>
          <w:lang w:val="pl-PL"/>
        </w:rPr>
        <w:t xml:space="preserve"> – zgodnie z ustawą z dnia 13 listopada 2013 r. o dochodach jednostek samorządu terytorialnego (Dz.U. z 2020 r. poz. 23 z późn.zm.) oraz rozporządzenia w sprawie zasad rachunkowości z 2017 r. do przychodów urzędu jednostki samorządu terytorialnego zalicza się dochody budżetu jednostki samorządu terytorialnego nieujęte w planach finansowych innych samorządowych jednostek budżetowych.</w:t>
      </w:r>
    </w:p>
    <w:p w14:paraId="408CC3EC"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Główne przychody stanowią:</w:t>
      </w:r>
    </w:p>
    <w:p w14:paraId="7345189C" w14:textId="77777777" w:rsidR="00E40D0C" w:rsidRDefault="00E40D0C" w:rsidP="005E7D8C">
      <w:pPr>
        <w:pStyle w:val="Tekstpodstawowy"/>
        <w:keepLines/>
        <w:widowControl w:val="0"/>
        <w:numPr>
          <w:ilvl w:val="0"/>
          <w:numId w:val="14"/>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Dochody z tytułu opłat za wieczyste użytkowanie – przychody ujmowane są w kwocie naliczenia opłaty za rok obrotowy;</w:t>
      </w:r>
    </w:p>
    <w:p w14:paraId="3CCE1DBF" w14:textId="77777777" w:rsidR="00E40D0C" w:rsidRDefault="00E40D0C" w:rsidP="005E7D8C">
      <w:pPr>
        <w:pStyle w:val="Tekstpodstawowy"/>
        <w:keepLines/>
        <w:widowControl w:val="0"/>
        <w:numPr>
          <w:ilvl w:val="0"/>
          <w:numId w:val="14"/>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sprzedaży majątku – przychody ujmowane są w momencie, gdy znaczące ryzyko i korzyści wynikające z prawa własności majątku zostały przekazane nabywcy. Przychody obejmują należne lub uzyskane kwoty ze sprzedaży, pomniejszone o podatek od towarów i usług;</w:t>
      </w:r>
    </w:p>
    <w:p w14:paraId="4A57F2A4" w14:textId="77777777" w:rsidR="00E40D0C" w:rsidRDefault="00E40D0C" w:rsidP="005E7D8C">
      <w:pPr>
        <w:pStyle w:val="Tekstpodstawowy"/>
        <w:keepLines/>
        <w:widowControl w:val="0"/>
        <w:numPr>
          <w:ilvl w:val="0"/>
          <w:numId w:val="14"/>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najmu i dzierżawy – przychody ujmowane są w kwocie naliczenia czynszów za okres najmu bądź dzierżawy w roku obrotowym;</w:t>
      </w:r>
    </w:p>
    <w:p w14:paraId="2B0457A5" w14:textId="77777777" w:rsidR="00E40D0C" w:rsidRDefault="00E40D0C" w:rsidP="005E7D8C">
      <w:pPr>
        <w:pStyle w:val="Tekstpodstawowy"/>
        <w:keepLines/>
        <w:widowControl w:val="0"/>
        <w:numPr>
          <w:ilvl w:val="0"/>
          <w:numId w:val="14"/>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kar pieniężnych i grzywien – przychody ujmowane są w kwocie naliczonych kar pieniężnych i grzywien w roku obrotowym;</w:t>
      </w:r>
    </w:p>
    <w:p w14:paraId="60A31527" w14:textId="77777777" w:rsidR="00E40D0C" w:rsidRDefault="00E40D0C" w:rsidP="005E7D8C">
      <w:pPr>
        <w:pStyle w:val="Tekstpodstawowy"/>
        <w:keepLines/>
        <w:widowControl w:val="0"/>
        <w:numPr>
          <w:ilvl w:val="0"/>
          <w:numId w:val="14"/>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odsetek – przychody ujmowane są w momencie ich naliczenia w kwocie naliczenia zgodnie z przepisami prawa</w:t>
      </w:r>
    </w:p>
    <w:p w14:paraId="6B6F6C8E"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sidRPr="00706D8E">
        <w:rPr>
          <w:rFonts w:ascii="Calibri" w:hAnsi="Calibri" w:cs="Calibri"/>
          <w:b/>
          <w:color w:val="auto"/>
          <w:sz w:val="22"/>
          <w:szCs w:val="22"/>
          <w:lang w:val="pl-PL"/>
        </w:rPr>
        <w:t>Prezentacja przychodów w rachunku zysków i strat</w:t>
      </w:r>
    </w:p>
    <w:p w14:paraId="2CA4794D"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przychodów z podstawowej działalności operacyjnej zalicza się przychody z następujących tytułów: opłaty za zarząd i użytkowanie wieczyste, najem i dzierżawa mienia, sprzedaż usług, sprzedaż towarów i materiałów, dotacje na finansowanie działalności podstawowej.</w:t>
      </w:r>
    </w:p>
    <w:p w14:paraId="3CCE403C" w14:textId="77777777" w:rsidR="00E40D0C"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przychodów z pozostałej działalności operacyjnej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14:paraId="4F831FA7" w14:textId="77777777" w:rsidR="00E40D0C" w:rsidRPr="00D8786B" w:rsidRDefault="00E40D0C" w:rsidP="00E40D0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przychodów finansowych zalicza się przychody z następujących tytułów: odsetki za zwłokę w zapłacie należności, rozwiązanie odpisów aktualizujących wartość długoterminowych aktywów finansowych.</w:t>
      </w:r>
    </w:p>
    <w:p w14:paraId="74622C0C" w14:textId="77777777" w:rsidR="00E40D0C" w:rsidRPr="00A05C08" w:rsidRDefault="00E40D0C" w:rsidP="005E7D8C">
      <w:pPr>
        <w:pStyle w:val="Nagwek2"/>
        <w:widowControl w:val="0"/>
        <w:numPr>
          <w:ilvl w:val="0"/>
          <w:numId w:val="8"/>
        </w:numPr>
        <w:adjustRightInd w:val="0"/>
        <w:spacing w:after="240" w:line="300" w:lineRule="auto"/>
        <w:contextualSpacing/>
        <w:textAlignment w:val="baseline"/>
        <w:rPr>
          <w:rFonts w:ascii="Calibri" w:hAnsi="Calibri" w:cs="Calibri"/>
          <w:b w:val="0"/>
          <w:sz w:val="22"/>
          <w:szCs w:val="22"/>
          <w:lang w:val="pl-PL"/>
        </w:rPr>
      </w:pPr>
      <w:r w:rsidRPr="00A05C08">
        <w:rPr>
          <w:rFonts w:ascii="Calibri" w:hAnsi="Calibri" w:cs="Calibri"/>
          <w:b w:val="0"/>
          <w:sz w:val="22"/>
          <w:szCs w:val="22"/>
          <w:lang w:val="pl-PL"/>
        </w:rPr>
        <w:t>Inne informacje</w:t>
      </w:r>
    </w:p>
    <w:sectPr w:rsidR="00E40D0C" w:rsidRPr="00A05C08"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7F4CE" w14:textId="77777777" w:rsidR="007C752F" w:rsidRDefault="007C752F">
      <w:r>
        <w:separator/>
      </w:r>
    </w:p>
  </w:endnote>
  <w:endnote w:type="continuationSeparator" w:id="0">
    <w:p w14:paraId="41C9989A" w14:textId="77777777" w:rsidR="007C752F" w:rsidRDefault="007C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D40C" w14:textId="7844943A" w:rsidR="005F1C24" w:rsidRPr="009675C5" w:rsidRDefault="005F1C24" w:rsidP="009675C5">
    <w:pPr>
      <w:pStyle w:val="Stopka"/>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28200" w14:textId="77777777" w:rsidR="007C752F" w:rsidRDefault="007C752F">
      <w:r>
        <w:separator/>
      </w:r>
    </w:p>
  </w:footnote>
  <w:footnote w:type="continuationSeparator" w:id="0">
    <w:p w14:paraId="747D0680" w14:textId="77777777" w:rsidR="007C752F" w:rsidRDefault="007C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AD26" w14:textId="60B39697" w:rsidR="00A905BD" w:rsidRPr="009675C5" w:rsidRDefault="00E40D0C" w:rsidP="009D1313">
    <w:pPr>
      <w:pStyle w:val="Nagwek"/>
      <w:tabs>
        <w:tab w:val="clear" w:pos="8306"/>
      </w:tabs>
      <w:ind w:right="360"/>
      <w:rPr>
        <w:rFonts w:ascii="Calibri" w:hAnsi="Calibri" w:cs="Calibri"/>
        <w:b/>
        <w:sz w:val="22"/>
        <w:szCs w:val="22"/>
        <w:lang w:val="pl-PL"/>
      </w:rPr>
    </w:pPr>
    <w:r>
      <w:rPr>
        <w:rFonts w:ascii="Calibri" w:hAnsi="Calibri" w:cs="Calibri"/>
        <w:b/>
        <w:color w:val="000000"/>
        <w:sz w:val="22"/>
        <w:szCs w:val="22"/>
        <w:lang w:val="pl-PL"/>
      </w:rPr>
      <w:t>Urząd Dzielnicy Rembertów m.st. Warszawy</w:t>
    </w:r>
  </w:p>
  <w:p w14:paraId="065E7C7A" w14:textId="61FFDF35" w:rsidR="00A905BD" w:rsidRPr="009675C5" w:rsidRDefault="001C1428" w:rsidP="009D1313">
    <w:pPr>
      <w:pStyle w:val="Nagwek"/>
      <w:pBdr>
        <w:bottom w:val="single" w:sz="6" w:space="1" w:color="auto"/>
      </w:pBdr>
      <w:tabs>
        <w:tab w:val="clear" w:pos="8306"/>
      </w:tabs>
      <w:ind w:right="45"/>
      <w:rPr>
        <w:rFonts w:ascii="Calibri" w:hAnsi="Calibri" w:cs="Calibri"/>
        <w:b/>
        <w:sz w:val="22"/>
        <w:szCs w:val="22"/>
        <w:lang w:val="pl-PL"/>
      </w:rPr>
    </w:pPr>
    <w:r w:rsidRPr="009675C5">
      <w:rPr>
        <w:rFonts w:ascii="Calibri" w:hAnsi="Calibri" w:cs="Calibri"/>
        <w:b/>
        <w:sz w:val="22"/>
        <w:szCs w:val="22"/>
        <w:lang w:val="pl-PL"/>
      </w:rPr>
      <w:t>Informacja dodatkowa do sprawozdania</w:t>
    </w:r>
    <w:r w:rsidR="00A905BD" w:rsidRPr="009675C5">
      <w:rPr>
        <w:rFonts w:ascii="Calibri" w:hAnsi="Calibri" w:cs="Calibri"/>
        <w:b/>
        <w:sz w:val="22"/>
        <w:szCs w:val="22"/>
        <w:lang w:val="pl-PL"/>
      </w:rPr>
      <w:t xml:space="preserve"> finansowe</w:t>
    </w:r>
    <w:r w:rsidRPr="009675C5">
      <w:rPr>
        <w:rFonts w:ascii="Calibri" w:hAnsi="Calibri" w:cs="Calibri"/>
        <w:b/>
        <w:sz w:val="22"/>
        <w:szCs w:val="22"/>
        <w:lang w:val="pl-PL"/>
      </w:rPr>
      <w:t>go</w:t>
    </w:r>
    <w:r w:rsidR="00A905BD" w:rsidRPr="009675C5">
      <w:rPr>
        <w:rFonts w:ascii="Calibri" w:hAnsi="Calibri" w:cs="Calibri"/>
        <w:b/>
        <w:sz w:val="22"/>
        <w:szCs w:val="22"/>
        <w:lang w:val="pl-PL"/>
      </w:rPr>
      <w:t xml:space="preserve"> za rok obrotowy zakończony 31</w:t>
    </w:r>
    <w:r w:rsidR="00013FD1" w:rsidRPr="009675C5">
      <w:rPr>
        <w:rFonts w:ascii="Calibri" w:hAnsi="Calibri" w:cs="Calibri"/>
        <w:b/>
        <w:sz w:val="22"/>
        <w:szCs w:val="22"/>
        <w:lang w:val="pl-PL"/>
      </w:rPr>
      <w:t> </w:t>
    </w:r>
    <w:r w:rsidR="00D71F0D" w:rsidRPr="009675C5">
      <w:rPr>
        <w:rFonts w:ascii="Calibri" w:hAnsi="Calibri" w:cs="Calibri"/>
        <w:b/>
        <w:sz w:val="22"/>
        <w:szCs w:val="22"/>
        <w:lang w:val="pl-PL"/>
      </w:rPr>
      <w:t>grudnia 20</w:t>
    </w:r>
    <w:r w:rsidR="00E40D0C">
      <w:rPr>
        <w:rFonts w:ascii="Calibri" w:hAnsi="Calibri" w:cs="Calibri"/>
        <w:b/>
        <w:sz w:val="22"/>
        <w:szCs w:val="22"/>
        <w:lang w:val="pl-PL"/>
      </w:rPr>
      <w:t>2</w:t>
    </w:r>
    <w:r w:rsidR="009C609F">
      <w:rPr>
        <w:rFonts w:ascii="Calibri" w:hAnsi="Calibri" w:cs="Calibri"/>
        <w:b/>
        <w:sz w:val="22"/>
        <w:szCs w:val="22"/>
        <w:lang w:val="pl-PL"/>
      </w:rPr>
      <w:t>4</w:t>
    </w:r>
    <w:r w:rsidR="00A905BD" w:rsidRPr="009675C5">
      <w:rPr>
        <w:rFonts w:ascii="Calibri" w:hAnsi="Calibri" w:cs="Calibri"/>
        <w:b/>
        <w:sz w:val="22"/>
        <w:szCs w:val="22"/>
        <w:lang w:val="pl-PL"/>
      </w:rPr>
      <w:t>r.</w:t>
    </w:r>
  </w:p>
  <w:p w14:paraId="71D9F67C" w14:textId="77777777" w:rsidR="00CF5F24" w:rsidRPr="009675C5" w:rsidRDefault="00CF5F24" w:rsidP="005E7D8C">
    <w:pPr>
      <w:pStyle w:val="Nagwek"/>
      <w:numPr>
        <w:ilvl w:val="0"/>
        <w:numId w:val="6"/>
      </w:numPr>
      <w:pBdr>
        <w:bottom w:val="single" w:sz="6" w:space="1" w:color="auto"/>
      </w:pBdr>
      <w:tabs>
        <w:tab w:val="clear" w:pos="4153"/>
        <w:tab w:val="clear" w:pos="8306"/>
        <w:tab w:val="center" w:pos="284"/>
      </w:tabs>
      <w:ind w:left="426" w:right="45" w:hanging="426"/>
      <w:rPr>
        <w:rFonts w:ascii="Calibri" w:hAnsi="Calibri" w:cs="Calibri"/>
        <w:b/>
        <w:sz w:val="22"/>
        <w:szCs w:val="22"/>
        <w:lang w:val="pl-PL"/>
      </w:rPr>
    </w:pPr>
    <w:r w:rsidRPr="009675C5">
      <w:rPr>
        <w:rFonts w:ascii="Calibri" w:hAnsi="Calibri" w:cs="Calibri"/>
        <w:b/>
        <w:sz w:val="22"/>
        <w:szCs w:val="22"/>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C657D"/>
    <w:multiLevelType w:val="multilevel"/>
    <w:tmpl w:val="A9F0DED8"/>
    <w:lvl w:ilvl="0">
      <w:start w:val="5"/>
      <w:numFmt w:val="decimal"/>
      <w:lvlText w:val="%1."/>
      <w:lvlJc w:val="left"/>
      <w:pPr>
        <w:tabs>
          <w:tab w:val="num" w:pos="927"/>
        </w:tabs>
        <w:ind w:left="927" w:hanging="360"/>
      </w:pPr>
      <w:rPr>
        <w:rFonts w:cs="Times New Roman" w:hint="default"/>
        <w:b/>
        <w:sz w:val="20"/>
      </w:rPr>
    </w:lvl>
    <w:lvl w:ilvl="1">
      <w:start w:val="1"/>
      <w:numFmt w:val="ordinal"/>
      <w:lvlText w:val="%2"/>
      <w:lvlJc w:val="left"/>
      <w:pPr>
        <w:tabs>
          <w:tab w:val="num" w:pos="1647"/>
        </w:tabs>
        <w:ind w:left="1647" w:hanging="360"/>
      </w:pPr>
      <w:rPr>
        <w:rFonts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2" w15:restartNumberingAfterBreak="0">
    <w:nsid w:val="0C210440"/>
    <w:multiLevelType w:val="multilevel"/>
    <w:tmpl w:val="729084C2"/>
    <w:lvl w:ilvl="0">
      <w:start w:val="4"/>
      <w:numFmt w:val="decimal"/>
      <w:lvlText w:val="%1."/>
      <w:lvlJc w:val="left"/>
      <w:pPr>
        <w:tabs>
          <w:tab w:val="num" w:pos="927"/>
        </w:tabs>
        <w:ind w:left="927" w:hanging="360"/>
      </w:pPr>
      <w:rPr>
        <w:rFonts w:cs="Times New Roman" w:hint="default"/>
        <w:b/>
        <w:sz w:val="20"/>
      </w:rPr>
    </w:lvl>
    <w:lvl w:ilvl="1">
      <w:start w:val="4"/>
      <w:numFmt w:val="ordinal"/>
      <w:lvlText w:val="%2"/>
      <w:lvlJc w:val="left"/>
      <w:pPr>
        <w:tabs>
          <w:tab w:val="num" w:pos="1647"/>
        </w:tabs>
        <w:ind w:left="1647" w:hanging="360"/>
      </w:pPr>
      <w:rPr>
        <w:rFonts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0E4A6AA7"/>
    <w:multiLevelType w:val="hybridMultilevel"/>
    <w:tmpl w:val="CA6ADC0A"/>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 w15:restartNumberingAfterBreak="0">
    <w:nsid w:val="25E15022"/>
    <w:multiLevelType w:val="hybridMultilevel"/>
    <w:tmpl w:val="EDAEE126"/>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 w15:restartNumberingAfterBreak="0">
    <w:nsid w:val="26BE7B6D"/>
    <w:multiLevelType w:val="hybridMultilevel"/>
    <w:tmpl w:val="90C670F6"/>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 w15:restartNumberingAfterBreak="0">
    <w:nsid w:val="4F244CCC"/>
    <w:multiLevelType w:val="hybridMultilevel"/>
    <w:tmpl w:val="F9967DC8"/>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 w15:restartNumberingAfterBreak="0">
    <w:nsid w:val="4FED72EC"/>
    <w:multiLevelType w:val="hybridMultilevel"/>
    <w:tmpl w:val="4EF819A4"/>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2" w15:restartNumberingAfterBreak="0">
    <w:nsid w:val="69DA2932"/>
    <w:multiLevelType w:val="hybridMultilevel"/>
    <w:tmpl w:val="5CC8D51A"/>
    <w:lvl w:ilvl="0" w:tplc="485674E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abstractNumId w:val="11"/>
  </w:num>
  <w:num w:numId="2">
    <w:abstractNumId w:val="13"/>
  </w:num>
  <w:num w:numId="3">
    <w:abstractNumId w:val="6"/>
  </w:num>
  <w:num w:numId="4">
    <w:abstractNumId w:val="0"/>
  </w:num>
  <w:num w:numId="5">
    <w:abstractNumId w:val="7"/>
  </w:num>
  <w:num w:numId="6">
    <w:abstractNumId w:val="10"/>
  </w:num>
  <w:num w:numId="7">
    <w:abstractNumId w:val="12"/>
  </w:num>
  <w:num w:numId="8">
    <w:abstractNumId w:val="1"/>
  </w:num>
  <w:num w:numId="9">
    <w:abstractNumId w:val="2"/>
  </w:num>
  <w:num w:numId="10">
    <w:abstractNumId w:val="3"/>
  </w:num>
  <w:num w:numId="11">
    <w:abstractNumId w:val="8"/>
  </w:num>
  <w:num w:numId="12">
    <w:abstractNumId w:val="9"/>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5E6"/>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15F"/>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04F0"/>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1C2"/>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593"/>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0959"/>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1C70"/>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2C5"/>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2D2"/>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E7D8C"/>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6DD1"/>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C752F"/>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5C5"/>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09F"/>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57A"/>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1EBC"/>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23D"/>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743"/>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0D0C"/>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758"/>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EBF"/>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CDF50"/>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0710B-DE4F-4806-999A-D6AB2E9A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1928</Words>
  <Characters>11574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subject/>
  <dc:creator>esemeniuk</dc:creator>
  <cp:keywords/>
  <cp:lastModifiedBy>Jaworowska Beata</cp:lastModifiedBy>
  <cp:revision>12</cp:revision>
  <cp:lastPrinted>2024-03-13T14:44:00Z</cp:lastPrinted>
  <dcterms:created xsi:type="dcterms:W3CDTF">2024-03-04T08:15:00Z</dcterms:created>
  <dcterms:modified xsi:type="dcterms:W3CDTF">2025-04-03T11:57:00Z</dcterms:modified>
</cp:coreProperties>
</file>